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297F" w14:textId="76011942" w:rsidR="00FF1C66" w:rsidRPr="00B42F23" w:rsidRDefault="00FF1C66" w:rsidP="000E1BBD">
      <w:pPr>
        <w:shd w:val="clear" w:color="auto" w:fill="FFFFFF"/>
        <w:spacing w:after="35" w:line="360" w:lineRule="auto"/>
        <w:ind w:left="4248" w:right="424"/>
        <w:rPr>
          <w:rFonts w:ascii="Garamond" w:eastAsia="Times New Roman" w:hAnsi="Garamond" w:cs="Tahoma"/>
          <w:color w:val="000000"/>
          <w:sz w:val="24"/>
          <w:szCs w:val="24"/>
          <w:lang w:val="en-US" w:eastAsia="it-IT"/>
        </w:rPr>
      </w:pPr>
      <w:proofErr w:type="spellStart"/>
      <w:r w:rsidRPr="00B42F23">
        <w:rPr>
          <w:rFonts w:ascii="Garamond" w:eastAsia="Times New Roman" w:hAnsi="Garamond" w:cs="Tahoma"/>
          <w:color w:val="000000"/>
          <w:sz w:val="24"/>
          <w:szCs w:val="24"/>
          <w:lang w:val="en-US" w:eastAsia="it-IT"/>
        </w:rPr>
        <w:t>Spett.le</w:t>
      </w:r>
      <w:proofErr w:type="spellEnd"/>
      <w:r w:rsidRPr="00B42F23">
        <w:rPr>
          <w:rFonts w:ascii="Garamond" w:eastAsia="Times New Roman" w:hAnsi="Garamond" w:cs="Tahoma"/>
          <w:color w:val="000000"/>
          <w:sz w:val="24"/>
          <w:szCs w:val="24"/>
          <w:lang w:val="en-US" w:eastAsia="it-IT"/>
        </w:rPr>
        <w:t xml:space="preserve"> </w:t>
      </w:r>
    </w:p>
    <w:p w14:paraId="5E6EC924" w14:textId="2E1F918E" w:rsidR="00FF1C66" w:rsidRPr="009E202A" w:rsidRDefault="00FF1C66" w:rsidP="000E1BBD">
      <w:pPr>
        <w:shd w:val="clear" w:color="auto" w:fill="FFFFFF"/>
        <w:spacing w:after="35" w:line="360" w:lineRule="auto"/>
        <w:ind w:left="4248" w:right="424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ASL</w:t>
      </w:r>
      <w:r w:rsidR="00B42F23" w:rsidRP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/ATS/ASST/USSL</w:t>
      </w:r>
      <w:r w:rsidRP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______________</w:t>
      </w:r>
      <w:r w:rsidR="00674544" w:rsidRP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_____________</w:t>
      </w:r>
      <w:r w:rsidRP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______</w:t>
      </w:r>
    </w:p>
    <w:p w14:paraId="3FED9346" w14:textId="60F37CB2" w:rsidR="00674544" w:rsidRPr="000E1BBD" w:rsidRDefault="00674544" w:rsidP="000E1BBD">
      <w:pPr>
        <w:shd w:val="clear" w:color="auto" w:fill="FFFFFF"/>
        <w:spacing w:after="35" w:line="360" w:lineRule="auto"/>
        <w:ind w:left="4248" w:right="424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______________________________________</w:t>
      </w:r>
    </w:p>
    <w:p w14:paraId="625D2738" w14:textId="791F9C37" w:rsidR="00AD4C34" w:rsidRDefault="00AD4C34" w:rsidP="00AD4C34">
      <w:pPr>
        <w:shd w:val="clear" w:color="auto" w:fill="FFFFFF"/>
        <w:spacing w:after="35" w:line="360" w:lineRule="auto"/>
        <w:ind w:right="424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4CB8D581" w14:textId="77777777" w:rsidR="000E1BBD" w:rsidRPr="000E1BBD" w:rsidRDefault="000E1BBD" w:rsidP="00AD4C34">
      <w:pPr>
        <w:shd w:val="clear" w:color="auto" w:fill="FFFFFF"/>
        <w:spacing w:after="35" w:line="360" w:lineRule="auto"/>
        <w:ind w:right="424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1E3A6D44" w14:textId="47174274" w:rsidR="00674544" w:rsidRPr="000E1BBD" w:rsidRDefault="00674544" w:rsidP="00AE7985">
      <w:pPr>
        <w:shd w:val="clear" w:color="auto" w:fill="FFFFFF"/>
        <w:spacing w:after="35" w:line="360" w:lineRule="auto"/>
        <w:ind w:right="424" w:firstLine="708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Spettabile Direzione,</w:t>
      </w:r>
    </w:p>
    <w:p w14:paraId="4B3D3F04" w14:textId="2332E2A1" w:rsidR="0074078B" w:rsidRPr="000E1BBD" w:rsidRDefault="00FF1C66" w:rsidP="0067454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formulo la presente a seguito della ricezione</w:t>
      </w:r>
      <w:r w:rsidR="00EB13CF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in data _____________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dell’invito</w:t>
      </w:r>
      <w:r w:rsidR="00EB13CF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cui all’art.4 comma 5 </w:t>
      </w:r>
      <w:r w:rsidR="00AD4C34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del D.L. n.44 del 2021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.</w:t>
      </w:r>
    </w:p>
    <w:p w14:paraId="04D58DD4" w14:textId="1E0E6822" w:rsidR="00FF1C66" w:rsidRPr="000E1BBD" w:rsidRDefault="00165F53" w:rsidP="00165F53">
      <w:pPr>
        <w:shd w:val="clear" w:color="auto" w:fill="FFFFFF"/>
        <w:spacing w:after="35" w:line="360" w:lineRule="auto"/>
        <w:ind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Premesso che non dispongo di documentazione comprovante l’effettuazione della vaccinazione né ho effettuato richiesta della medesima,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in considerazione di quanto da Voi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formulato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- con riferimento </w:t>
      </w:r>
      <w:r w:rsid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all’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art.4, comma 2 del citato decreto legge (</w:t>
      </w:r>
      <w:r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it-IT"/>
        </w:rPr>
        <w:t>accertato pericolo per la salute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)</w:t>
      </w:r>
      <w:r w:rsid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236A7E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-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4A583E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in virtù del principio di precauzione</w:t>
      </w:r>
      <w:r w:rsidR="00236A7E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, </w:t>
      </w:r>
      <w:r w:rsidR="004439A8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per </w:t>
      </w:r>
      <w:r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potervi </w:t>
      </w:r>
      <w:r w:rsidR="00E84AA6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fornire idonea documentazione, </w:t>
      </w:r>
      <w:r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e</w:t>
      </w:r>
      <w:r w:rsidR="00E84AA6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/o</w:t>
      </w:r>
      <w:r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 prendere qualsi</w:t>
      </w:r>
      <w:r w:rsidR="00E84AA6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voglia</w:t>
      </w:r>
      <w:r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 </w:t>
      </w:r>
      <w:r w:rsidR="00E84AA6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iniziativa conseguente in ottemperanza alla disciplina normativa</w:t>
      </w:r>
      <w:r w:rsidR="00236A7E"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 xml:space="preserve"> richiamata</w:t>
      </w:r>
      <w:r w:rsidRPr="00B42F23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ho necessità </w:t>
      </w:r>
      <w:r w:rsidR="004439A8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che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mi inform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iate </w:t>
      </w:r>
      <w:r w:rsid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- </w:t>
      </w:r>
      <w:r w:rsidR="00FF1C6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mediante comunicazione scritta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-</w:t>
      </w:r>
      <w:r w:rsidR="00FF1C6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74078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riguardo</w:t>
      </w:r>
      <w:r w:rsidR="00FF1C6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a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 aspetti e indicazioni </w:t>
      </w:r>
      <w:r w:rsidR="00236A7E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preliminari e dirimenti della vaccinazione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.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</w:p>
    <w:p w14:paraId="67909226" w14:textId="0A718E96" w:rsidR="005C73AA" w:rsidRPr="000E1BBD" w:rsidRDefault="00AD4C34" w:rsidP="00AE7985">
      <w:pPr>
        <w:shd w:val="clear" w:color="auto" w:fill="FFFFFF"/>
        <w:spacing w:after="35" w:line="360" w:lineRule="auto"/>
        <w:ind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In tal senso</w:t>
      </w:r>
      <w:r w:rsidR="00236A7E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E84AA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</w:t>
      </w:r>
      <w:r w:rsidR="00BC575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 fine </w:t>
      </w:r>
      <w:r w:rsidR="009E202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poter esprimere liberamente e consapevolmente il consenso all’inoculazione del </w:t>
      </w:r>
      <w:r w:rsidR="00B42F23" w:rsidRPr="009E202A">
        <w:rPr>
          <w:rFonts w:ascii="Garamond" w:eastAsia="Times New Roman" w:hAnsi="Garamond" w:cs="Tahoma"/>
          <w:b/>
          <w:bCs/>
          <w:i/>
          <w:iCs/>
          <w:color w:val="000000"/>
          <w:sz w:val="24"/>
          <w:szCs w:val="24"/>
          <w:lang w:eastAsia="it-IT"/>
        </w:rPr>
        <w:t xml:space="preserve">vaccino </w:t>
      </w:r>
      <w:r w:rsidR="00236A7E" w:rsidRPr="009E202A">
        <w:rPr>
          <w:rFonts w:ascii="Garamond" w:eastAsia="Times New Roman" w:hAnsi="Garamond" w:cs="Tahoma"/>
          <w:b/>
          <w:bCs/>
          <w:i/>
          <w:iCs/>
          <w:color w:val="000000"/>
          <w:sz w:val="24"/>
          <w:szCs w:val="24"/>
          <w:lang w:eastAsia="it-IT"/>
        </w:rPr>
        <w:t xml:space="preserve">per la prevenzione dell’infezione da SARS-CoV-2 </w:t>
      </w:r>
      <w:r w:rsidR="00236A7E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– nel rispetto dell’art.1 della Legge n.219/2017 -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chiedo di avere contezza:</w:t>
      </w:r>
    </w:p>
    <w:p w14:paraId="34604B5D" w14:textId="33A3088E" w:rsidR="007D040B" w:rsidRPr="00F77917" w:rsidRDefault="00AD4C34" w:rsidP="00D6434C">
      <w:pPr>
        <w:pStyle w:val="Paragrafoelenco"/>
        <w:numPr>
          <w:ilvl w:val="0"/>
          <w:numId w:val="4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dell</w:t>
      </w:r>
      <w:r w:rsidR="00FF1C6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a lista completa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degli </w:t>
      </w:r>
      <w:r w:rsidR="00580DA3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ingredienti</w:t>
      </w:r>
      <w:r w:rsidR="00CA6B5B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, adiuvanti ed eccipienti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580DA3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de</w:t>
      </w:r>
      <w:r w:rsidR="00674544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 </w:t>
      </w:r>
      <w:r w:rsidR="00B42F23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prodotto </w:t>
      </w:r>
      <w:r w:rsidR="00674544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che mi verrà inoculato;</w:t>
      </w:r>
    </w:p>
    <w:p w14:paraId="07628649" w14:textId="093844DF" w:rsidR="005C73AA" w:rsidRPr="00F77917" w:rsidRDefault="00AD4C34" w:rsidP="00D6434C">
      <w:pPr>
        <w:pStyle w:val="Paragrafoelenco"/>
        <w:numPr>
          <w:ilvl w:val="0"/>
          <w:numId w:val="4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</w:t>
      </w:r>
      <w:r w:rsidR="005C73AA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tutte le </w:t>
      </w:r>
      <w:r w:rsidR="005C73AA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controindicazioni e </w:t>
      </w:r>
      <w:r w:rsidR="00B42F23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di </w:t>
      </w:r>
      <w:r w:rsidR="005C73AA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tutti i potenziali effetti </w:t>
      </w:r>
      <w:r w:rsidR="00674544" w:rsidRP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avversi</w:t>
      </w:r>
      <w:r w:rsidR="00674544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5C73AA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collaterali, riparabili o irreparabili, a breve, medio e lungo termine</w:t>
      </w:r>
      <w:r w:rsidR="00674544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674544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conosciuti, nonché riferiti nel periodo di vigilanza farmacologica già trascorso</w:t>
      </w:r>
      <w:r w:rsidR="005C73AA" w:rsidRP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; </w:t>
      </w:r>
    </w:p>
    <w:p w14:paraId="28E50BBC" w14:textId="597987E3" w:rsidR="009C6951" w:rsidRPr="000E1BBD" w:rsidRDefault="00AD4C34" w:rsidP="00D6434C">
      <w:pPr>
        <w:pStyle w:val="Paragrafoelenco"/>
        <w:numPr>
          <w:ilvl w:val="0"/>
          <w:numId w:val="4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del</w:t>
      </w:r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l’assenza di rischio di </w:t>
      </w:r>
      <w:r w:rsidR="009C6951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reazioni iatrogene</w:t>
      </w:r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, fra cui immunopatologie da rilascio di citochine e mediatori dell’infiammazione, allergie potenzialmente fatali immediate e ritardate, autoimmunità, attivazione della cascata del complemento con </w:t>
      </w:r>
      <w:proofErr w:type="spellStart"/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coagulopatia</w:t>
      </w:r>
      <w:proofErr w:type="spellEnd"/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(trombosi e trombocitopenia);</w:t>
      </w:r>
    </w:p>
    <w:p w14:paraId="55BE4EED" w14:textId="25C5AFB4" w:rsidR="009C6951" w:rsidRPr="000E1BBD" w:rsidRDefault="00AD4C34" w:rsidP="00D6434C">
      <w:pPr>
        <w:pStyle w:val="Paragrafoelenco"/>
        <w:numPr>
          <w:ilvl w:val="0"/>
          <w:numId w:val="4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de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gli studi e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del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le analisi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che certificano che il prodotto non contiene contaminanti e residui pericolosi per la salute, quali Dna fetale potenzialmente </w:t>
      </w:r>
      <w:r w:rsidR="00D91C9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cancerogeno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, virus e retrovirus endogeni cancerogeni, contaminanti microbici; </w:t>
      </w:r>
    </w:p>
    <w:p w14:paraId="16E5E327" w14:textId="78700F4D" w:rsidR="00AD4C34" w:rsidRPr="000E1BBD" w:rsidRDefault="00AD4C34" w:rsidP="00AD4C34">
      <w:pPr>
        <w:pStyle w:val="Paragrafoelenco"/>
        <w:numPr>
          <w:ilvl w:val="0"/>
          <w:numId w:val="4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di </w:t>
      </w:r>
      <w:r w:rsidR="00EB13CF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quali</w:t>
      </w:r>
      <w:r w:rsidR="005C73AA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altri trattamenti alternativi al </w:t>
      </w:r>
      <w:r w:rsidR="00B42F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vaccino</w:t>
      </w:r>
      <w:r w:rsidR="005C73AA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s</w:t>
      </w:r>
      <w:r w:rsidR="00B42F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ia</w:t>
      </w:r>
      <w:r w:rsidR="00674544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no</w:t>
      </w:r>
      <w:r w:rsidR="005C73AA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disponibili per combattere il virus,</w:t>
      </w:r>
      <w:r w:rsidR="005C73AA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specificando i vantaggi e gli svantaggi di ogni trattamento</w:t>
      </w:r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.</w:t>
      </w:r>
    </w:p>
    <w:p w14:paraId="64D7D51A" w14:textId="77777777" w:rsidR="00AD4C34" w:rsidRPr="000E1BBD" w:rsidRDefault="00AD4C34" w:rsidP="00AD4C3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2869AE8E" w14:textId="143D9106" w:rsidR="009C7EFD" w:rsidRPr="000E1BBD" w:rsidRDefault="009C7EFD" w:rsidP="00AD4C3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lastRenderedPageBreak/>
        <w:t>Chiedo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inoltre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che nel rispetto della normativa nazionale</w:t>
      </w:r>
      <w:r w:rsidR="00AD4C34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 europea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e internazionale riconosciuta vigente in Italia </w:t>
      </w:r>
      <w:r w:rsidR="0074078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certificare che:</w:t>
      </w:r>
    </w:p>
    <w:p w14:paraId="795A55A0" w14:textId="0DC4D35C" w:rsidR="009C7EFD" w:rsidRPr="000E1BBD" w:rsidRDefault="009C7EFD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il </w:t>
      </w:r>
      <w:r w:rsidR="00B42F23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prodotto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non ha la potenzialità di modificare il DNA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umano attraverso la cosiddetta trascrittasi inversa, che permette esplicitamente il trasferimento di informazioni dall'mRNA al DNA;</w:t>
      </w:r>
    </w:p>
    <w:p w14:paraId="20F4B15E" w14:textId="3A9A3410" w:rsidR="009C7EFD" w:rsidRPr="000E1BBD" w:rsidRDefault="009C7EFD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prodotto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non contiene chip di identificazione a radio frequenza (</w:t>
      </w:r>
      <w:proofErr w:type="spellStart"/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Rfid</w:t>
      </w:r>
      <w:proofErr w:type="spellEnd"/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) o qualsiasi forma di nanotecnologia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;</w:t>
      </w:r>
    </w:p>
    <w:p w14:paraId="0B78C490" w14:textId="6E970EF8" w:rsidR="00AE51F9" w:rsidRPr="000E1BBD" w:rsidRDefault="005C73AA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tutti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 </w:t>
      </w:r>
      <w:r w:rsidR="00580DA3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parametri medici per i test e gli studi richiesti</w:t>
      </w:r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per la inoculazione s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ono stati rispettati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;</w:t>
      </w:r>
      <w:r w:rsidR="009C6951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</w:p>
    <w:p w14:paraId="395C5144" w14:textId="2DF910AA" w:rsidR="00F62909" w:rsidRPr="000E1BBD" w:rsidRDefault="009C7EFD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ai sensi dell’art.4 comma 1 del D.L. n.44 del 2021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prodotto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inoculato previene l’infezione da SARS-CoV-2 e conseguentemente i soggetti 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vaccinati 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non poss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o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no contrarre il virus </w:t>
      </w:r>
      <w:r w:rsid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SARS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-CoV-2</w:t>
      </w:r>
      <w:r w:rsidR="000E1BBD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,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0E1BBD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né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poss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o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no reinfettarsi </w:t>
      </w:r>
      <w:r w:rsidR="00CA6B5B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 nuovi ceppi circolanti;</w:t>
      </w:r>
    </w:p>
    <w:p w14:paraId="26ED3FC5" w14:textId="5203508A" w:rsidR="00F62909" w:rsidRPr="000E1BBD" w:rsidRDefault="00E75AB5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presente nel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prodotto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</w:t>
      </w:r>
      <w:r w:rsidR="00CA6B5B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l’antigene vaccinale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</w:t>
      </w:r>
      <w:r w:rsidR="00A50CD6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non gener</w:t>
      </w:r>
      <w:r w:rsidR="009C7EFD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a</w:t>
      </w:r>
      <w:r w:rsidR="00A50CD6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un rischio a medio e lungo</w:t>
      </w:r>
      <w:r w:rsidR="00A50C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termine di patologie invalidanti a carico del sistema nervoso centrale e periferico, né </w:t>
      </w:r>
      <w:r w:rsidR="009C7EF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può </w:t>
      </w:r>
      <w:r w:rsidR="00A50C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causare a breve e lungo termine esiti </w:t>
      </w:r>
      <w:r w:rsidR="00D91C9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cancerogeni</w:t>
      </w:r>
      <w:r w:rsidR="00A50C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e patologie croniche degenerative;</w:t>
      </w:r>
    </w:p>
    <w:p w14:paraId="61327AAF" w14:textId="66D89261" w:rsidR="00F62909" w:rsidRPr="000E1BBD" w:rsidRDefault="00A50CD6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prodotto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è già stato testato su soggetti con predisposizione a trombosi e malattie cardiocircolatorie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ed in quale percentuale è stata riscontrata l’assenza di complicanze</w:t>
      </w:r>
      <w:r w:rsidR="00F6290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;</w:t>
      </w:r>
    </w:p>
    <w:p w14:paraId="3BE9DF16" w14:textId="4752C9D9" w:rsidR="00E75AB5" w:rsidRPr="000E1BBD" w:rsidRDefault="00A50CD6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sono sufficienti due dosi di inoculazione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del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prodotto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e 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sono escluse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successive ed ulteriori inoculazioni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;</w:t>
      </w:r>
    </w:p>
    <w:p w14:paraId="620D61EA" w14:textId="6313CF02" w:rsidR="00F62909" w:rsidRPr="000E1BBD" w:rsidRDefault="00E75AB5" w:rsidP="00AD4C34">
      <w:pPr>
        <w:pStyle w:val="Paragrafoelenco"/>
        <w:numPr>
          <w:ilvl w:val="0"/>
          <w:numId w:val="5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il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correlato di protezione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 ossia la percentuale degli anticorpi vaccinali, è in grado di proteggere dalla S</w:t>
      </w:r>
      <w:r w:rsidR="00F77917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ARS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-CoV-2 e dalle sue varianti.</w:t>
      </w:r>
    </w:p>
    <w:p w14:paraId="1A181456" w14:textId="77777777" w:rsidR="00D6434C" w:rsidRPr="000E1BBD" w:rsidRDefault="00D6434C" w:rsidP="00AD4C3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74470961" w14:textId="03E2E443" w:rsidR="009C6951" w:rsidRPr="000E1BBD" w:rsidRDefault="009C6951" w:rsidP="009C6951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In considerazione 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nel rispetto delle mie convinzioni personali e religiose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e della conseguente validità del consenso,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Vi chiedo di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garantire e certificare:</w:t>
      </w:r>
    </w:p>
    <w:p w14:paraId="643FC5AC" w14:textId="09F96D5A" w:rsidR="009C6951" w:rsidRPr="000E1BBD" w:rsidRDefault="009C6951" w:rsidP="00AD4C34">
      <w:pPr>
        <w:pStyle w:val="Paragrafoelenco"/>
        <w:numPr>
          <w:ilvl w:val="0"/>
          <w:numId w:val="6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che il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prodotto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che verrà iniettato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non contiene MRC5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ossia cellule di feti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umani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abortiti o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tracce di DNA umano</w:t>
      </w:r>
      <w:r w:rsidR="00F77917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;</w:t>
      </w:r>
    </w:p>
    <w:p w14:paraId="2DAD4AC9" w14:textId="1C57ECE8" w:rsidR="009C6951" w:rsidRPr="000E1BBD" w:rsidRDefault="009C6951" w:rsidP="00AD4C34">
      <w:pPr>
        <w:pStyle w:val="Paragrafoelenco"/>
        <w:numPr>
          <w:ilvl w:val="0"/>
          <w:numId w:val="6"/>
        </w:num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l’assenza nel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prodotto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da iniettare di inserti di virus HIV;</w:t>
      </w:r>
    </w:p>
    <w:p w14:paraId="45A62B84" w14:textId="77777777" w:rsidR="00D6434C" w:rsidRPr="000E1BBD" w:rsidRDefault="00D6434C" w:rsidP="0067454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43CFBC29" w14:textId="0198E98A" w:rsidR="00AE51F9" w:rsidRPr="000E1BBD" w:rsidRDefault="00E75AB5" w:rsidP="00D6434C">
      <w:pPr>
        <w:shd w:val="clear" w:color="auto" w:fill="FFFFFF"/>
        <w:spacing w:after="35" w:line="360" w:lineRule="auto"/>
        <w:ind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Al fine di consentire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u w:val="single"/>
          <w:lang w:eastAsia="it-IT"/>
        </w:rPr>
        <w:t>la ripresa delle normali condizioni di vita e di lavoro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 chied</w:t>
      </w:r>
      <w:r w:rsidR="00AD4C34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a</w:t>
      </w:r>
      <w:r w:rsidR="00AE51F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ltresì di rispondere alle seguenti domande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in relazione all’inoculazione del </w:t>
      </w:r>
      <w:r w:rsidR="00B42F23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prodotto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specifico</w:t>
      </w:r>
      <w:r w:rsidR="00AE51F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:</w:t>
      </w:r>
    </w:p>
    <w:p w14:paraId="1A9969A0" w14:textId="11FD5B8C" w:rsidR="00AE51F9" w:rsidRPr="000E1BBD" w:rsidRDefault="00AE51F9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sono esonerato dall’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indossare la mascherina? </w:t>
      </w:r>
    </w:p>
    <w:p w14:paraId="001A8339" w14:textId="3FADC02F" w:rsidR="00AE51F9" w:rsidRPr="000E1BBD" w:rsidRDefault="00E75AB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="00AE51F9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sono esonerato dal rispetto delle regole circa il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distanziamento sociale?</w:t>
      </w:r>
    </w:p>
    <w:p w14:paraId="6F51FE55" w14:textId="07B2A481" w:rsidR="00B333D0" w:rsidRPr="000E1BBD" w:rsidRDefault="00E75AB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devo seguire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le restrizioni orarie del c.d.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coprifuoco?</w:t>
      </w:r>
    </w:p>
    <w:p w14:paraId="4F31DE4F" w14:textId="6F4D26CA" w:rsidR="00C35682" w:rsidRPr="000E1BBD" w:rsidRDefault="00580DA3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lastRenderedPageBreak/>
        <w:t>Se io, i miei genitori e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d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 miei nonni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="00E75AB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consentiamo all’inoculazione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otremo incontrarci di nuovo senza restrizioni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? </w:t>
      </w:r>
    </w:p>
    <w:p w14:paraId="669E0407" w14:textId="6EA7EEC3" w:rsidR="009A0755" w:rsidRPr="000E1BBD" w:rsidRDefault="00E75AB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potrò contrarre </w:t>
      </w:r>
      <w:r w:rsidR="003A006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il virus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3A006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SARS- CoV-2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?</w:t>
      </w:r>
    </w:p>
    <w:p w14:paraId="3997D95E" w14:textId="35983E57" w:rsidR="009A0755" w:rsidRPr="000E1BBD" w:rsidRDefault="009A075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consento all’inoculazione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avrò prevenuto l’infezione da SARS- CoV-2 e le sue varianti?</w:t>
      </w:r>
    </w:p>
    <w:p w14:paraId="634465FA" w14:textId="07F3472D" w:rsidR="00C35682" w:rsidRPr="000E1BBD" w:rsidRDefault="009A075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eviterò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forme gravi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ovid-19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 ospedalizzazione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nonché la morte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?</w:t>
      </w:r>
    </w:p>
    <w:p w14:paraId="53709BC8" w14:textId="25E64289" w:rsidR="00C35682" w:rsidRPr="000E1BBD" w:rsidRDefault="009A0755" w:rsidP="00674544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Se 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ac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consento all’inoculazione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sarò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contagioso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per gli altri? </w:t>
      </w:r>
    </w:p>
    <w:p w14:paraId="30B56CDB" w14:textId="46FD1DE6" w:rsidR="00545C66" w:rsidRPr="000E1BBD" w:rsidRDefault="00580DA3" w:rsidP="009A0755">
      <w:pPr>
        <w:pStyle w:val="Paragrafoelenco"/>
        <w:numPr>
          <w:ilvl w:val="0"/>
          <w:numId w:val="2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hAnsi="Garamond"/>
          <w:sz w:val="24"/>
          <w:szCs w:val="24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Se dovessi sperimentare una grave reazione avversa, con effetti a lungo termine che portano anche alla morte, io o la mia famiglia sar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emo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risarciti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del danno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? </w:t>
      </w:r>
    </w:p>
    <w:p w14:paraId="2BA92939" w14:textId="77777777" w:rsidR="009A0755" w:rsidRPr="000E1BBD" w:rsidRDefault="009A0755" w:rsidP="00674544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429D778F" w14:textId="2D003FF5" w:rsidR="00AE7985" w:rsidRPr="000E1BBD" w:rsidRDefault="00AD4C34" w:rsidP="00AE7985">
      <w:pPr>
        <w:shd w:val="clear" w:color="auto" w:fill="FFFFFF"/>
        <w:spacing w:after="35" w:line="360" w:lineRule="auto"/>
        <w:ind w:right="424"/>
        <w:jc w:val="both"/>
        <w:rPr>
          <w:rFonts w:ascii="Garamond" w:hAnsi="Garamond"/>
          <w:i/>
          <w:iCs/>
          <w:sz w:val="24"/>
          <w:szCs w:val="24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Preciso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 altresì,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9A075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con la presente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9A075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che in assenza delle informazioni e delle risposte ai quesiti più sopra formulati</w:t>
      </w:r>
      <w:r w:rsidR="00AE798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:</w:t>
      </w:r>
    </w:p>
    <w:p w14:paraId="5691EBFF" w14:textId="3B7FB0FE" w:rsidR="009A0755" w:rsidRPr="000E1BBD" w:rsidRDefault="009A0755" w:rsidP="009A0755">
      <w:pPr>
        <w:pStyle w:val="Paragrafoelenco"/>
        <w:numPr>
          <w:ilvl w:val="0"/>
          <w:numId w:val="1"/>
        </w:numPr>
        <w:shd w:val="clear" w:color="auto" w:fill="FFFFFF"/>
        <w:spacing w:after="35" w:line="360" w:lineRule="auto"/>
        <w:ind w:left="0" w:right="424" w:firstLine="0"/>
        <w:jc w:val="both"/>
        <w:rPr>
          <w:rFonts w:ascii="Garamond" w:hAnsi="Garamond"/>
          <w:i/>
          <w:iCs/>
          <w:sz w:val="24"/>
          <w:szCs w:val="24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sarò nell’impossibilità di prestare il consenso informato ai sensi e per gli effetti indicati dalla della Legge n.219/2017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che all’art.1 </w:t>
      </w:r>
      <w:r w:rsidR="00AE7985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comma 1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sancisce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: </w:t>
      </w:r>
      <w:r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it-IT"/>
        </w:rPr>
        <w:t>“nessun trattamento sanitario può essere iniziato o proseguito se privo del consenso libero ed informato della persona interessata, tranne nei casi espressamente previsti dalla legge”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; all’art. 1 comma 8 richiede una adeguata informazione da parte del medico</w:t>
      </w:r>
      <w:r w:rsidR="000E1BBD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ed al comma 3 tutela il diritto di </w:t>
      </w:r>
      <w:r w:rsidR="0005008B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ogni persona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 </w:t>
      </w:r>
      <w:r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it-IT"/>
        </w:rPr>
        <w:t xml:space="preserve">“conoscere le proprie condizioni di salute e di essere informata in modo completo, aggiornato e comprensibile riguardo alla diagnosi, alla prognosi, ai benefici ed ai rischi degli accertamenti diagnostici e dei trattamenti sanitari, </w:t>
      </w:r>
      <w:r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u w:val="single"/>
          <w:lang w:eastAsia="it-IT"/>
        </w:rPr>
        <w:t>nonché riguardo alle possibili alternative</w:t>
      </w:r>
      <w:r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it-IT"/>
        </w:rPr>
        <w:t>, alle conseguenze dell’eventuale rifiuto del trattamento sanitario e dell’accertamento diagnostico o della rinuncia ai medesimi”</w:t>
      </w:r>
      <w:r w:rsidR="00AE7985" w:rsidRPr="000E1BBD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it-IT"/>
        </w:rPr>
        <w:t>;</w:t>
      </w:r>
    </w:p>
    <w:p w14:paraId="7645318E" w14:textId="1721EC63" w:rsidR="00AE7985" w:rsidRPr="000E1BBD" w:rsidRDefault="00AE7985" w:rsidP="00AE7985">
      <w:pPr>
        <w:shd w:val="clear" w:color="auto" w:fill="FFFFFF"/>
        <w:spacing w:after="35" w:line="360" w:lineRule="auto"/>
        <w:ind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- </w:t>
      </w:r>
      <w:r w:rsidR="00B15F06"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non 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sarò in condizione di valutare il rapporto benefici/rischi</w:t>
      </w:r>
      <w:r w:rsidR="003A006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>,</w:t>
      </w:r>
      <w:r w:rsidRPr="000E1BBD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it-IT"/>
        </w:rPr>
        <w:t xml:space="preserve"> conseguenti all’inoculazione del </w:t>
      </w:r>
      <w:r w:rsidR="003A006D" w:rsidRPr="009E202A">
        <w:rPr>
          <w:rFonts w:ascii="Garamond" w:eastAsia="Times New Roman" w:hAnsi="Garamond" w:cs="Tahoma"/>
          <w:b/>
          <w:bCs/>
          <w:i/>
          <w:iCs/>
          <w:color w:val="000000"/>
          <w:sz w:val="24"/>
          <w:szCs w:val="24"/>
          <w:lang w:eastAsia="it-IT"/>
        </w:rPr>
        <w:t>vaccino per la prevenzione dell’infezione da SARS-CoV-2</w:t>
      </w:r>
      <w:r w:rsidR="003A006D">
        <w:rPr>
          <w:rFonts w:ascii="Garamond" w:eastAsia="Times New Roman" w:hAnsi="Garamond" w:cs="Tahoma"/>
          <w:b/>
          <w:bCs/>
          <w:i/>
          <w:iCs/>
          <w:color w:val="000000"/>
          <w:sz w:val="24"/>
          <w:szCs w:val="24"/>
          <w:lang w:eastAsia="it-IT"/>
        </w:rPr>
        <w:t>,</w:t>
      </w:r>
      <w:r w:rsidR="003A006D" w:rsidRPr="009E202A">
        <w:rPr>
          <w:rFonts w:ascii="Garamond" w:eastAsia="Times New Roman" w:hAnsi="Garamond" w:cs="Tahoma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che mi pone </w:t>
      </w:r>
      <w:r w:rsidR="00B15F0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in grado di portarmi alla formazione di un processo volitivo</w:t>
      </w: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tale da rendere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il consenso alla inoculazione, 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in quanto il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consenso 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può validamente costituirsi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solamente </w:t>
      </w:r>
      <w:r w:rsidR="00580DA3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dopo 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che la persona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sia 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stat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informat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</w:t>
      </w:r>
      <w:r w:rsidR="00C35682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e edott</w:t>
      </w:r>
      <w:r w:rsidR="00CB14D6"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</w:t>
      </w:r>
      <w:r w:rsid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.</w:t>
      </w:r>
    </w:p>
    <w:p w14:paraId="3E0AF8BC" w14:textId="45F51119" w:rsidR="000E1BBD" w:rsidRDefault="000E1BBD" w:rsidP="000E1BBD">
      <w:pPr>
        <w:shd w:val="clear" w:color="auto" w:fill="FFFFFF"/>
        <w:spacing w:after="35" w:line="360" w:lineRule="auto"/>
        <w:ind w:left="4248"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659DCCE3" w14:textId="71CA1460" w:rsidR="000E1BBD" w:rsidRDefault="000E1BBD" w:rsidP="000E1BBD">
      <w:pPr>
        <w:shd w:val="clear" w:color="auto" w:fill="FFFFFF"/>
        <w:spacing w:after="35" w:line="360" w:lineRule="auto"/>
        <w:ind w:left="4248"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707CA700" w14:textId="77777777" w:rsidR="000E1BBD" w:rsidRPr="000E1BBD" w:rsidRDefault="000E1BBD" w:rsidP="000E1BBD">
      <w:pPr>
        <w:shd w:val="clear" w:color="auto" w:fill="FFFFFF"/>
        <w:spacing w:after="35" w:line="360" w:lineRule="auto"/>
        <w:ind w:left="4248" w:right="424" w:firstLine="708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</w:p>
    <w:p w14:paraId="2A7555E4" w14:textId="0A81097F" w:rsidR="00D6434C" w:rsidRPr="000E1BBD" w:rsidRDefault="00D6434C" w:rsidP="000E1BBD">
      <w:pPr>
        <w:shd w:val="clear" w:color="auto" w:fill="FFFFFF"/>
        <w:spacing w:after="35" w:line="360" w:lineRule="auto"/>
        <w:ind w:left="4248" w:right="424"/>
        <w:jc w:val="both"/>
        <w:rPr>
          <w:rFonts w:ascii="Garamond" w:eastAsia="Times New Roman" w:hAnsi="Garamond" w:cs="Tahoma"/>
          <w:color w:val="000000"/>
          <w:sz w:val="24"/>
          <w:szCs w:val="24"/>
          <w:lang w:eastAsia="it-IT"/>
        </w:rPr>
      </w:pPr>
      <w:r w:rsidRPr="000E1BBD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_____________________________________</w:t>
      </w:r>
    </w:p>
    <w:p w14:paraId="409BD81F" w14:textId="2815FC43" w:rsidR="00545C66" w:rsidRPr="000E1BBD" w:rsidRDefault="00545C66" w:rsidP="00674544">
      <w:pPr>
        <w:shd w:val="clear" w:color="auto" w:fill="FFFFFF"/>
        <w:spacing w:after="35" w:line="360" w:lineRule="auto"/>
        <w:ind w:right="424"/>
        <w:jc w:val="both"/>
        <w:rPr>
          <w:rFonts w:ascii="Garamond" w:hAnsi="Garamond"/>
          <w:sz w:val="24"/>
          <w:szCs w:val="24"/>
        </w:rPr>
      </w:pPr>
    </w:p>
    <w:sectPr w:rsidR="00545C66" w:rsidRPr="000E1BBD" w:rsidSect="00674544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2A4F"/>
    <w:multiLevelType w:val="hybridMultilevel"/>
    <w:tmpl w:val="2F868C34"/>
    <w:lvl w:ilvl="0" w:tplc="2BFA8782">
      <w:numFmt w:val="bullet"/>
      <w:lvlText w:val="-"/>
      <w:lvlJc w:val="left"/>
      <w:pPr>
        <w:ind w:left="2060" w:hanging="360"/>
      </w:pPr>
      <w:rPr>
        <w:rFonts w:ascii="Cambria" w:eastAsia="Times New Roman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25514972"/>
    <w:multiLevelType w:val="hybridMultilevel"/>
    <w:tmpl w:val="27E4A5F2"/>
    <w:lvl w:ilvl="0" w:tplc="A1D847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32F3"/>
    <w:multiLevelType w:val="hybridMultilevel"/>
    <w:tmpl w:val="98A43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10C"/>
    <w:multiLevelType w:val="hybridMultilevel"/>
    <w:tmpl w:val="1EFE6B7C"/>
    <w:lvl w:ilvl="0" w:tplc="F9FA6CD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C30F8"/>
    <w:multiLevelType w:val="hybridMultilevel"/>
    <w:tmpl w:val="848446D2"/>
    <w:lvl w:ilvl="0" w:tplc="5D340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9814D1"/>
    <w:multiLevelType w:val="hybridMultilevel"/>
    <w:tmpl w:val="99C224F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A3"/>
    <w:rsid w:val="0005008B"/>
    <w:rsid w:val="000E1BBD"/>
    <w:rsid w:val="00165F53"/>
    <w:rsid w:val="00236A7E"/>
    <w:rsid w:val="003A006D"/>
    <w:rsid w:val="004439A8"/>
    <w:rsid w:val="004A583E"/>
    <w:rsid w:val="004C37DC"/>
    <w:rsid w:val="00545C66"/>
    <w:rsid w:val="00580DA3"/>
    <w:rsid w:val="005C73AA"/>
    <w:rsid w:val="005F1AC3"/>
    <w:rsid w:val="00604509"/>
    <w:rsid w:val="00674544"/>
    <w:rsid w:val="006B7D20"/>
    <w:rsid w:val="0074078B"/>
    <w:rsid w:val="007D040B"/>
    <w:rsid w:val="00953AD4"/>
    <w:rsid w:val="009A0755"/>
    <w:rsid w:val="009A763A"/>
    <w:rsid w:val="009C6951"/>
    <w:rsid w:val="009C7EFD"/>
    <w:rsid w:val="009E202A"/>
    <w:rsid w:val="00A50CD6"/>
    <w:rsid w:val="00AD4C34"/>
    <w:rsid w:val="00AE51F9"/>
    <w:rsid w:val="00AE7985"/>
    <w:rsid w:val="00B15F06"/>
    <w:rsid w:val="00B333D0"/>
    <w:rsid w:val="00B42F23"/>
    <w:rsid w:val="00BC5759"/>
    <w:rsid w:val="00C35682"/>
    <w:rsid w:val="00C52B68"/>
    <w:rsid w:val="00CA6B5B"/>
    <w:rsid w:val="00CB14D6"/>
    <w:rsid w:val="00D6434C"/>
    <w:rsid w:val="00D91C99"/>
    <w:rsid w:val="00DC2044"/>
    <w:rsid w:val="00E75AB5"/>
    <w:rsid w:val="00E84AA6"/>
    <w:rsid w:val="00EB13CF"/>
    <w:rsid w:val="00F62909"/>
    <w:rsid w:val="00F77917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9977"/>
  <w15:docId w15:val="{CC5FC8AC-CB2A-4B8B-A3B9-5703783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oji">
    <w:name w:val="emoji"/>
    <w:basedOn w:val="Carpredefinitoparagrafo"/>
    <w:rsid w:val="00580DA3"/>
  </w:style>
  <w:style w:type="character" w:styleId="Collegamentoipertestuale">
    <w:name w:val="Hyperlink"/>
    <w:basedOn w:val="Carpredefinitoparagrafo"/>
    <w:uiPriority w:val="99"/>
    <w:semiHidden/>
    <w:unhideWhenUsed/>
    <w:rsid w:val="00580DA3"/>
    <w:rPr>
      <w:color w:val="0000FF"/>
      <w:u w:val="single"/>
    </w:rPr>
  </w:style>
  <w:style w:type="character" w:customStyle="1" w:styleId="immessageauthorwrap">
    <w:name w:val="im_message_author_wrap"/>
    <w:basedOn w:val="Carpredefinitoparagrafo"/>
    <w:rsid w:val="00580DA3"/>
  </w:style>
  <w:style w:type="character" w:customStyle="1" w:styleId="copyonly">
    <w:name w:val="copyonly"/>
    <w:basedOn w:val="Carpredefinitoparagrafo"/>
    <w:rsid w:val="00580DA3"/>
  </w:style>
  <w:style w:type="character" w:customStyle="1" w:styleId="immessagedatesplittext">
    <w:name w:val="im_message_date_split_text"/>
    <w:basedOn w:val="Carpredefinitoparagrafo"/>
    <w:rsid w:val="00580DA3"/>
  </w:style>
  <w:style w:type="paragraph" w:styleId="Paragrafoelenco">
    <w:name w:val="List Paragraph"/>
    <w:basedOn w:val="Normale"/>
    <w:uiPriority w:val="34"/>
    <w:qFormat/>
    <w:rsid w:val="00FF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261">
                      <w:marLeft w:val="140"/>
                      <w:marRight w:val="88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6407">
                                  <w:marLeft w:val="4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283">
                      <w:marLeft w:val="140"/>
                      <w:marRight w:val="88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6988">
                      <w:marLeft w:val="140"/>
                      <w:marRight w:val="88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912">
                          <w:marLeft w:val="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349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4937">
                      <w:marLeft w:val="140"/>
                      <w:marRight w:val="88"/>
                      <w:marTop w:val="7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fabrizia vaccarella</cp:lastModifiedBy>
  <cp:revision>3</cp:revision>
  <dcterms:created xsi:type="dcterms:W3CDTF">2021-05-17T14:39:00Z</dcterms:created>
  <dcterms:modified xsi:type="dcterms:W3CDTF">2021-05-17T21:08:00Z</dcterms:modified>
</cp:coreProperties>
</file>